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A76C" w14:textId="77777777" w:rsidR="00271D7C" w:rsidRPr="00353BDD" w:rsidRDefault="00271D7C" w:rsidP="00271D7C">
      <w:pPr>
        <w:jc w:val="center"/>
        <w:rPr>
          <w:b/>
          <w:bCs/>
          <w:color w:val="000000"/>
        </w:rPr>
      </w:pPr>
      <w:r w:rsidRPr="00353BDD">
        <w:rPr>
          <w:b/>
          <w:bCs/>
          <w:color w:val="000000"/>
        </w:rPr>
        <w:t xml:space="preserve">INVITATION FOR PREQUALIFICATION  </w:t>
      </w:r>
    </w:p>
    <w:p w14:paraId="2BA18D69" w14:textId="77777777" w:rsidR="00271D7C" w:rsidRPr="00353BDD" w:rsidRDefault="00271D7C" w:rsidP="00271D7C">
      <w:pPr>
        <w:jc w:val="center"/>
        <w:rPr>
          <w:b/>
          <w:bCs/>
          <w:color w:val="000000"/>
        </w:rPr>
      </w:pPr>
      <w:r w:rsidRPr="00353BDD">
        <w:rPr>
          <w:b/>
          <w:bCs/>
          <w:color w:val="000000"/>
        </w:rPr>
        <w:t>for the delivery of natural gas</w:t>
      </w:r>
    </w:p>
    <w:p w14:paraId="6FBAD14E" w14:textId="77777777" w:rsidR="00271D7C" w:rsidRPr="00353BDD" w:rsidRDefault="00271D7C" w:rsidP="00271D7C">
      <w:pPr>
        <w:ind w:firstLine="567"/>
        <w:jc w:val="both"/>
        <w:rPr>
          <w:bCs/>
        </w:rPr>
      </w:pPr>
    </w:p>
    <w:tbl>
      <w:tblPr>
        <w:tblW w:w="0" w:type="auto"/>
        <w:tblLayout w:type="fixed"/>
        <w:tblLook w:val="04A0" w:firstRow="1" w:lastRow="0" w:firstColumn="1" w:lastColumn="0" w:noHBand="0" w:noVBand="1"/>
      </w:tblPr>
      <w:tblGrid>
        <w:gridCol w:w="2977"/>
        <w:gridCol w:w="6039"/>
      </w:tblGrid>
      <w:tr w:rsidR="00271D7C" w:rsidRPr="00353BDD" w14:paraId="467CBCC1" w14:textId="77777777" w:rsidTr="00514433">
        <w:tc>
          <w:tcPr>
            <w:tcW w:w="2977" w:type="dxa"/>
            <w:shd w:val="clear" w:color="auto" w:fill="auto"/>
          </w:tcPr>
          <w:p w14:paraId="6CFC8735" w14:textId="77777777" w:rsidR="00271D7C" w:rsidRPr="00353BDD" w:rsidRDefault="00271D7C" w:rsidP="00514433">
            <w:pPr>
              <w:rPr>
                <w:b/>
              </w:rPr>
            </w:pPr>
            <w:r w:rsidRPr="00353BDD">
              <w:rPr>
                <w:b/>
              </w:rPr>
              <w:t>Location:</w:t>
            </w:r>
          </w:p>
        </w:tc>
        <w:tc>
          <w:tcPr>
            <w:tcW w:w="6039" w:type="dxa"/>
            <w:shd w:val="clear" w:color="auto" w:fill="auto"/>
          </w:tcPr>
          <w:p w14:paraId="2EDBEF6C" w14:textId="77777777" w:rsidR="00271D7C" w:rsidRPr="00353BDD" w:rsidRDefault="00271D7C" w:rsidP="00514433">
            <w:pPr>
              <w:rPr>
                <w:b/>
              </w:rPr>
            </w:pPr>
            <w:r w:rsidRPr="00353BDD">
              <w:rPr>
                <w:b/>
              </w:rPr>
              <w:t>Republic of Moldova</w:t>
            </w:r>
          </w:p>
        </w:tc>
      </w:tr>
      <w:tr w:rsidR="00271D7C" w:rsidRPr="00353BDD" w14:paraId="279A6B37" w14:textId="77777777" w:rsidTr="00514433">
        <w:tc>
          <w:tcPr>
            <w:tcW w:w="2977" w:type="dxa"/>
            <w:shd w:val="clear" w:color="auto" w:fill="auto"/>
          </w:tcPr>
          <w:p w14:paraId="3A620CA2" w14:textId="77777777" w:rsidR="00271D7C" w:rsidRPr="00353BDD" w:rsidRDefault="00271D7C" w:rsidP="00514433">
            <w:pPr>
              <w:rPr>
                <w:b/>
              </w:rPr>
            </w:pPr>
            <w:r w:rsidRPr="00353BDD">
              <w:rPr>
                <w:b/>
              </w:rPr>
              <w:t>Name of Project:</w:t>
            </w:r>
          </w:p>
        </w:tc>
        <w:tc>
          <w:tcPr>
            <w:tcW w:w="6039" w:type="dxa"/>
            <w:shd w:val="clear" w:color="auto" w:fill="auto"/>
          </w:tcPr>
          <w:p w14:paraId="5E8B787E" w14:textId="77777777" w:rsidR="00271D7C" w:rsidRPr="00B77665" w:rsidRDefault="00271D7C" w:rsidP="00514433">
            <w:pPr>
              <w:rPr>
                <w:b/>
              </w:rPr>
            </w:pPr>
            <w:r w:rsidRPr="00B77665">
              <w:rPr>
                <w:b/>
              </w:rPr>
              <w:t>Energy Security Project</w:t>
            </w:r>
          </w:p>
        </w:tc>
      </w:tr>
      <w:tr w:rsidR="00271D7C" w:rsidRPr="00353BDD" w14:paraId="02D1358B" w14:textId="77777777" w:rsidTr="00514433">
        <w:tc>
          <w:tcPr>
            <w:tcW w:w="2977" w:type="dxa"/>
            <w:shd w:val="clear" w:color="auto" w:fill="auto"/>
          </w:tcPr>
          <w:p w14:paraId="6A0FF6F8" w14:textId="77777777" w:rsidR="00271D7C" w:rsidRPr="00353BDD" w:rsidRDefault="00271D7C" w:rsidP="00514433">
            <w:pPr>
              <w:rPr>
                <w:b/>
              </w:rPr>
            </w:pPr>
            <w:r w:rsidRPr="00353BDD">
              <w:rPr>
                <w:b/>
              </w:rPr>
              <w:t>Business Sector:</w:t>
            </w:r>
          </w:p>
        </w:tc>
        <w:tc>
          <w:tcPr>
            <w:tcW w:w="6039" w:type="dxa"/>
            <w:shd w:val="clear" w:color="auto" w:fill="auto"/>
          </w:tcPr>
          <w:p w14:paraId="018267B5" w14:textId="77777777" w:rsidR="00271D7C" w:rsidRPr="00B77665" w:rsidRDefault="00271D7C" w:rsidP="00514433">
            <w:pPr>
              <w:rPr>
                <w:b/>
              </w:rPr>
            </w:pPr>
            <w:r w:rsidRPr="00B77665">
              <w:rPr>
                <w:b/>
              </w:rPr>
              <w:t>Natural Resources</w:t>
            </w:r>
          </w:p>
        </w:tc>
      </w:tr>
      <w:tr w:rsidR="00271D7C" w:rsidRPr="00353BDD" w14:paraId="6EA75860" w14:textId="77777777" w:rsidTr="00514433">
        <w:tc>
          <w:tcPr>
            <w:tcW w:w="2977" w:type="dxa"/>
            <w:shd w:val="clear" w:color="auto" w:fill="auto"/>
          </w:tcPr>
          <w:p w14:paraId="2EFFBE1C" w14:textId="77777777" w:rsidR="00271D7C" w:rsidRPr="00353BDD" w:rsidRDefault="00271D7C" w:rsidP="00514433">
            <w:pPr>
              <w:rPr>
                <w:b/>
              </w:rPr>
            </w:pPr>
            <w:r w:rsidRPr="00353BDD">
              <w:rPr>
                <w:b/>
              </w:rPr>
              <w:t>Project Number:</w:t>
            </w:r>
          </w:p>
        </w:tc>
        <w:tc>
          <w:tcPr>
            <w:tcW w:w="6039" w:type="dxa"/>
            <w:shd w:val="clear" w:color="auto" w:fill="auto"/>
          </w:tcPr>
          <w:p w14:paraId="242D0862" w14:textId="77777777" w:rsidR="00271D7C" w:rsidRPr="00353BDD" w:rsidRDefault="00271D7C" w:rsidP="00514433">
            <w:pPr>
              <w:rPr>
                <w:b/>
                <w:color w:val="000000"/>
              </w:rPr>
            </w:pPr>
            <w:r w:rsidRPr="00353BDD">
              <w:rPr>
                <w:b/>
                <w:color w:val="000000"/>
              </w:rPr>
              <w:t>56466</w:t>
            </w:r>
          </w:p>
        </w:tc>
      </w:tr>
      <w:tr w:rsidR="00271D7C" w:rsidRPr="00353BDD" w14:paraId="0D005EEC" w14:textId="77777777" w:rsidTr="00514433">
        <w:tc>
          <w:tcPr>
            <w:tcW w:w="2977" w:type="dxa"/>
            <w:shd w:val="clear" w:color="auto" w:fill="auto"/>
          </w:tcPr>
          <w:p w14:paraId="24F648FC" w14:textId="77777777" w:rsidR="00271D7C" w:rsidRPr="00353BDD" w:rsidRDefault="00271D7C" w:rsidP="00514433">
            <w:pPr>
              <w:rPr>
                <w:b/>
              </w:rPr>
            </w:pPr>
            <w:r w:rsidRPr="00353BDD">
              <w:rPr>
                <w:b/>
              </w:rPr>
              <w:t>Funding Source:</w:t>
            </w:r>
          </w:p>
        </w:tc>
        <w:tc>
          <w:tcPr>
            <w:tcW w:w="6039" w:type="dxa"/>
            <w:shd w:val="clear" w:color="auto" w:fill="auto"/>
          </w:tcPr>
          <w:p w14:paraId="175AAF36" w14:textId="77777777" w:rsidR="00271D7C" w:rsidRPr="00353BDD" w:rsidRDefault="00271D7C" w:rsidP="00514433">
            <w:pPr>
              <w:rPr>
                <w:b/>
                <w:color w:val="000000"/>
              </w:rPr>
            </w:pPr>
            <w:r w:rsidRPr="00353BDD">
              <w:rPr>
                <w:b/>
                <w:color w:val="000000"/>
              </w:rPr>
              <w:t>EBRD</w:t>
            </w:r>
          </w:p>
        </w:tc>
      </w:tr>
      <w:tr w:rsidR="00271D7C" w:rsidRPr="00353BDD" w14:paraId="32C1444D" w14:textId="77777777" w:rsidTr="00514433">
        <w:tc>
          <w:tcPr>
            <w:tcW w:w="2977" w:type="dxa"/>
            <w:shd w:val="clear" w:color="auto" w:fill="auto"/>
          </w:tcPr>
          <w:p w14:paraId="62462EF7" w14:textId="77777777" w:rsidR="00271D7C" w:rsidRPr="00353BDD" w:rsidRDefault="00271D7C" w:rsidP="00514433">
            <w:pPr>
              <w:rPr>
                <w:b/>
              </w:rPr>
            </w:pPr>
            <w:r w:rsidRPr="00353BDD">
              <w:rPr>
                <w:b/>
              </w:rPr>
              <w:t>Contract Type:</w:t>
            </w:r>
          </w:p>
        </w:tc>
        <w:tc>
          <w:tcPr>
            <w:tcW w:w="6039" w:type="dxa"/>
            <w:shd w:val="clear" w:color="auto" w:fill="auto"/>
          </w:tcPr>
          <w:p w14:paraId="3984B284" w14:textId="77777777" w:rsidR="00271D7C" w:rsidRPr="00353BDD" w:rsidRDefault="00271D7C" w:rsidP="00514433">
            <w:pPr>
              <w:rPr>
                <w:b/>
                <w:color w:val="000000"/>
              </w:rPr>
            </w:pPr>
            <w:r w:rsidRPr="00353BDD">
              <w:rPr>
                <w:b/>
                <w:color w:val="000000"/>
              </w:rPr>
              <w:t>Commodities (Natural Gas)</w:t>
            </w:r>
          </w:p>
        </w:tc>
      </w:tr>
      <w:tr w:rsidR="00271D7C" w:rsidRPr="00353BDD" w14:paraId="09ABFA4B" w14:textId="77777777" w:rsidTr="00514433">
        <w:tc>
          <w:tcPr>
            <w:tcW w:w="2977" w:type="dxa"/>
            <w:shd w:val="clear" w:color="auto" w:fill="auto"/>
          </w:tcPr>
          <w:p w14:paraId="3B66095A" w14:textId="77777777" w:rsidR="00271D7C" w:rsidRPr="00353BDD" w:rsidRDefault="00271D7C" w:rsidP="00514433">
            <w:pPr>
              <w:rPr>
                <w:b/>
              </w:rPr>
            </w:pPr>
            <w:r w:rsidRPr="00353BDD">
              <w:rPr>
                <w:b/>
              </w:rPr>
              <w:t>Notice Type:</w:t>
            </w:r>
          </w:p>
        </w:tc>
        <w:tc>
          <w:tcPr>
            <w:tcW w:w="6039" w:type="dxa"/>
            <w:shd w:val="clear" w:color="auto" w:fill="auto"/>
          </w:tcPr>
          <w:p w14:paraId="54819131" w14:textId="77777777" w:rsidR="00271D7C" w:rsidRPr="00353BDD" w:rsidRDefault="00271D7C" w:rsidP="00514433">
            <w:pPr>
              <w:rPr>
                <w:b/>
                <w:color w:val="000000"/>
              </w:rPr>
            </w:pPr>
            <w:r w:rsidRPr="00353BDD">
              <w:rPr>
                <w:b/>
                <w:color w:val="000000"/>
              </w:rPr>
              <w:t>Invitation for Prequalification</w:t>
            </w:r>
          </w:p>
        </w:tc>
      </w:tr>
      <w:tr w:rsidR="00271D7C" w:rsidRPr="00353BDD" w14:paraId="3EA44FA0" w14:textId="77777777" w:rsidTr="00514433">
        <w:tc>
          <w:tcPr>
            <w:tcW w:w="2977" w:type="dxa"/>
            <w:shd w:val="clear" w:color="auto" w:fill="auto"/>
          </w:tcPr>
          <w:p w14:paraId="25ADBB88" w14:textId="77777777" w:rsidR="00271D7C" w:rsidRPr="00353BDD" w:rsidRDefault="00271D7C" w:rsidP="00514433">
            <w:pPr>
              <w:rPr>
                <w:b/>
              </w:rPr>
            </w:pPr>
            <w:r w:rsidRPr="00353BDD">
              <w:rPr>
                <w:b/>
              </w:rPr>
              <w:t>Issue Date:</w:t>
            </w:r>
          </w:p>
        </w:tc>
        <w:tc>
          <w:tcPr>
            <w:tcW w:w="6039" w:type="dxa"/>
            <w:shd w:val="clear" w:color="auto" w:fill="auto"/>
          </w:tcPr>
          <w:p w14:paraId="1500114C" w14:textId="52B06209" w:rsidR="00271D7C" w:rsidRPr="00353BDD" w:rsidRDefault="00105EBB" w:rsidP="00514433">
            <w:pPr>
              <w:rPr>
                <w:b/>
              </w:rPr>
            </w:pPr>
            <w:r>
              <w:rPr>
                <w:b/>
              </w:rPr>
              <w:t>May</w:t>
            </w:r>
            <w:r w:rsidR="00271D7C">
              <w:rPr>
                <w:b/>
              </w:rPr>
              <w:t xml:space="preserve"> </w:t>
            </w:r>
            <w:r>
              <w:rPr>
                <w:b/>
              </w:rPr>
              <w:t>02</w:t>
            </w:r>
            <w:r w:rsidR="00271D7C" w:rsidRPr="00353BDD">
              <w:rPr>
                <w:b/>
              </w:rPr>
              <w:t>, 2025</w:t>
            </w:r>
          </w:p>
        </w:tc>
      </w:tr>
      <w:tr w:rsidR="00271D7C" w:rsidRPr="00353BDD" w14:paraId="069DFF42" w14:textId="77777777" w:rsidTr="00514433">
        <w:trPr>
          <w:trHeight w:val="128"/>
        </w:trPr>
        <w:tc>
          <w:tcPr>
            <w:tcW w:w="2977" w:type="dxa"/>
            <w:shd w:val="clear" w:color="auto" w:fill="auto"/>
          </w:tcPr>
          <w:p w14:paraId="408F7DC0" w14:textId="77777777" w:rsidR="00271D7C" w:rsidRPr="00353BDD" w:rsidRDefault="00271D7C" w:rsidP="00514433">
            <w:pPr>
              <w:rPr>
                <w:b/>
              </w:rPr>
            </w:pPr>
            <w:r w:rsidRPr="00353BDD">
              <w:rPr>
                <w:b/>
              </w:rPr>
              <w:t>Closing Date:</w:t>
            </w:r>
          </w:p>
        </w:tc>
        <w:tc>
          <w:tcPr>
            <w:tcW w:w="6039" w:type="dxa"/>
            <w:shd w:val="clear" w:color="auto" w:fill="auto"/>
          </w:tcPr>
          <w:p w14:paraId="5BD7F34F" w14:textId="74DEA1A4" w:rsidR="00271D7C" w:rsidRPr="00353BDD" w:rsidRDefault="00271D7C" w:rsidP="00514433">
            <w:pPr>
              <w:rPr>
                <w:b/>
              </w:rPr>
            </w:pPr>
            <w:r w:rsidRPr="00353BDD">
              <w:rPr>
                <w:b/>
              </w:rPr>
              <w:t>May 1</w:t>
            </w:r>
            <w:r w:rsidR="00C2246A">
              <w:rPr>
                <w:b/>
              </w:rPr>
              <w:t>6</w:t>
            </w:r>
            <w:r w:rsidRPr="00353BDD">
              <w:rPr>
                <w:b/>
              </w:rPr>
              <w:t>, 2025,</w:t>
            </w:r>
            <w:r w:rsidRPr="00353BDD">
              <w:t xml:space="preserve"> </w:t>
            </w:r>
            <w:r w:rsidRPr="00051E5D">
              <w:rPr>
                <w:b/>
              </w:rPr>
              <w:t>17:00</w:t>
            </w:r>
            <w:r w:rsidRPr="00353BDD">
              <w:rPr>
                <w:b/>
              </w:rPr>
              <w:t xml:space="preserve"> EEST (Chisinau time)</w:t>
            </w:r>
          </w:p>
        </w:tc>
      </w:tr>
    </w:tbl>
    <w:p w14:paraId="76564D7B" w14:textId="77777777" w:rsidR="00271D7C" w:rsidRPr="00353BDD" w:rsidRDefault="00271D7C" w:rsidP="00271D7C">
      <w:pPr>
        <w:jc w:val="both"/>
      </w:pPr>
      <w:r w:rsidRPr="00353BDD">
        <w:t xml:space="preserve">  </w:t>
      </w:r>
    </w:p>
    <w:p w14:paraId="66DA935E" w14:textId="161BD2DE" w:rsidR="00271D7C" w:rsidRPr="006B64EB" w:rsidRDefault="00271D7C" w:rsidP="006B64EB">
      <w:pPr>
        <w:jc w:val="both"/>
      </w:pPr>
      <w:r w:rsidRPr="006B64EB">
        <w:t>This Invitation for Prequalification follows the General Procurement Notice for this project which was published on the EBRD website, Project Procurement Notices </w:t>
      </w:r>
      <w:r w:rsidRPr="006B64EB">
        <w:rPr>
          <w:i/>
          <w:iCs/>
        </w:rPr>
        <w:t>(</w:t>
      </w:r>
      <w:hyperlink r:id="rId4" w:history="1">
        <w:r w:rsidR="002E4AEC" w:rsidRPr="00523B09">
          <w:rPr>
            <w:rStyle w:val="Hyperlink"/>
          </w:rPr>
          <w:t>https://www.ebrd.com/content/dam/ebrd_dxp/assets/pdfs/project</w:t>
        </w:r>
        <w:r w:rsidR="002E4AEC" w:rsidRPr="00523B09">
          <w:rPr>
            <w:rStyle w:val="Hyperlink"/>
          </w:rPr>
          <w:t xml:space="preserve"> </w:t>
        </w:r>
        <w:r w:rsidR="002E4AEC" w:rsidRPr="00523B09">
          <w:rPr>
            <w:rStyle w:val="Hyperlink"/>
          </w:rPr>
          <w:t>procurement/directives-and-guidances/Guidance-note-Publication-of-Procurement-Notices-May-2024.pdf</w:t>
        </w:r>
      </w:hyperlink>
      <w:r w:rsidRPr="00523B09">
        <w:t>) </w:t>
      </w:r>
      <w:r w:rsidRPr="006B64EB">
        <w:t xml:space="preserve">on 11 March 2022 and updated on 27 June 2023. </w:t>
      </w:r>
    </w:p>
    <w:p w14:paraId="6A546320" w14:textId="77777777" w:rsidR="00271D7C" w:rsidRPr="006B64EB" w:rsidRDefault="00271D7C" w:rsidP="006B64EB">
      <w:pPr>
        <w:jc w:val="both"/>
        <w:rPr>
          <w:color w:val="000000"/>
        </w:rPr>
      </w:pPr>
    </w:p>
    <w:p w14:paraId="426BA4A2" w14:textId="77777777" w:rsidR="00271D7C" w:rsidRPr="006B64EB" w:rsidRDefault="00271D7C" w:rsidP="006B64EB">
      <w:pPr>
        <w:jc w:val="both"/>
      </w:pPr>
      <w:r w:rsidRPr="006B64EB">
        <w:t xml:space="preserve">Applicants who have been prequalified in the exercises already carried out within this project and have EFET type contracts signed with S.A Energocom, agreed with EBRD, will keep their prequalified status and do not have to resubmit their applications. </w:t>
      </w:r>
      <w:hyperlink r:id="rId5" w:history="1">
        <w:r w:rsidRPr="006B64EB">
          <w:rPr>
            <w:rStyle w:val="Hyperlink"/>
          </w:rPr>
          <w:t>https://energocom.md/en/list-of-prequalified-entities-in-accordance-with-the-rules-of-the-european-bank-for-reconstruction-and-development/</w:t>
        </w:r>
      </w:hyperlink>
      <w:r w:rsidRPr="006B64EB">
        <w:t xml:space="preserve">   </w:t>
      </w:r>
    </w:p>
    <w:p w14:paraId="3697A4CF" w14:textId="77777777" w:rsidR="00271D7C" w:rsidRPr="006B64EB" w:rsidRDefault="00271D7C" w:rsidP="006B64EB">
      <w:pPr>
        <w:jc w:val="both"/>
      </w:pPr>
    </w:p>
    <w:p w14:paraId="729A5763" w14:textId="77777777" w:rsidR="00271D7C" w:rsidRPr="006B64EB" w:rsidRDefault="00271D7C" w:rsidP="006B64EB">
      <w:pPr>
        <w:ind w:right="-3"/>
        <w:jc w:val="both"/>
      </w:pPr>
      <w:r w:rsidRPr="006B64EB">
        <w:t xml:space="preserve">The Government of Moldova has signed a loan agreement with the European Bank for Reconstruction and Development (the Bank) and intends using part of the proceeds towards the cost of natural gas. Extension of the project by an additional amount of up to EUR 400 million (to be financed by the Bank and other potential donors) is currently under consideration by the Bank. The procurement process will be undertaken in accordance with the EBRD’s Procurement Policies and Rules (PP&amp;Rs) dated May 2022. </w:t>
      </w:r>
    </w:p>
    <w:p w14:paraId="26176807" w14:textId="77777777" w:rsidR="00271D7C" w:rsidRPr="006B64EB" w:rsidRDefault="00271D7C" w:rsidP="006B64EB">
      <w:pPr>
        <w:jc w:val="both"/>
      </w:pPr>
    </w:p>
    <w:p w14:paraId="6AFEA025" w14:textId="77777777" w:rsidR="00271D7C" w:rsidRPr="006B64EB" w:rsidRDefault="00271D7C" w:rsidP="006B64EB">
      <w:pPr>
        <w:ind w:right="-3"/>
        <w:jc w:val="both"/>
      </w:pPr>
      <w:r w:rsidRPr="006B64EB">
        <w:t>Prequalification and tendering for contracts to be financed with the proceeds of a loan from the Bank is open to firms and joint ventures of firms from any country.</w:t>
      </w:r>
    </w:p>
    <w:p w14:paraId="45528FD8" w14:textId="77777777" w:rsidR="00271D7C" w:rsidRPr="006B64EB" w:rsidRDefault="00271D7C" w:rsidP="006B64EB">
      <w:pPr>
        <w:ind w:right="-3"/>
        <w:jc w:val="both"/>
      </w:pPr>
    </w:p>
    <w:p w14:paraId="4585ACFD" w14:textId="038D7557" w:rsidR="00271D7C" w:rsidRPr="006B64EB" w:rsidRDefault="00271D7C" w:rsidP="006B64EB">
      <w:pPr>
        <w:ind w:right="-3"/>
        <w:jc w:val="both"/>
      </w:pPr>
      <w:r w:rsidRPr="006B64EB">
        <w:t xml:space="preserve">Upon request, prequalification documents will be dispatched electronically, free of charge, or may be downloaded from the internet using the following </w:t>
      </w:r>
      <w:hyperlink r:id="rId6" w:history="1">
        <w:r w:rsidR="00105EBB" w:rsidRPr="006B64EB">
          <w:rPr>
            <w:rStyle w:val="Hyperlink"/>
          </w:rPr>
          <w:t>https://energocom.md/en/list-of-prequalified-entities-in-accordance-with-the-rules-of-the-european-bank-for-reconstruction-and-development/</w:t>
        </w:r>
      </w:hyperlink>
      <w:r w:rsidR="00105EBB" w:rsidRPr="006B64EB">
        <w:t>.</w:t>
      </w:r>
    </w:p>
    <w:p w14:paraId="344A4299" w14:textId="051D36A1" w:rsidR="00271D7C" w:rsidRPr="006B64EB" w:rsidRDefault="00271D7C" w:rsidP="006B64EB">
      <w:pPr>
        <w:ind w:right="-3"/>
        <w:jc w:val="both"/>
      </w:pPr>
      <w:r w:rsidRPr="006B64EB">
        <w:t xml:space="preserve">The prequalification documents must be duly completed and submitted electronically to the e-mail address below </w:t>
      </w:r>
      <w:r w:rsidRPr="006B64EB">
        <w:rPr>
          <w:color w:val="000000"/>
        </w:rPr>
        <w:t xml:space="preserve">on or </w:t>
      </w:r>
      <w:r w:rsidRPr="006B64EB">
        <w:t xml:space="preserve">before: </w:t>
      </w:r>
      <w:r w:rsidRPr="006B64EB">
        <w:rPr>
          <w:b/>
        </w:rPr>
        <w:t>May 1</w:t>
      </w:r>
      <w:r w:rsidR="00EA7645" w:rsidRPr="006B64EB">
        <w:rPr>
          <w:b/>
        </w:rPr>
        <w:t>6</w:t>
      </w:r>
      <w:r w:rsidRPr="006B64EB">
        <w:rPr>
          <w:b/>
        </w:rPr>
        <w:t>, 2025, 17:00 EEST</w:t>
      </w:r>
      <w:r w:rsidRPr="006B64EB">
        <w:t xml:space="preserve"> (Chisinau time).</w:t>
      </w:r>
    </w:p>
    <w:p w14:paraId="1FE9B582" w14:textId="77777777" w:rsidR="00271D7C" w:rsidRPr="006B64EB" w:rsidRDefault="00271D7C" w:rsidP="006B64EB">
      <w:pPr>
        <w:ind w:right="-3"/>
        <w:jc w:val="both"/>
      </w:pPr>
    </w:p>
    <w:p w14:paraId="63E51278" w14:textId="77777777" w:rsidR="00271D7C" w:rsidRPr="006B64EB" w:rsidRDefault="00271D7C" w:rsidP="006B64EB">
      <w:pPr>
        <w:ind w:right="-3"/>
        <w:jc w:val="both"/>
      </w:pPr>
      <w:r w:rsidRPr="006B64EB">
        <w:t xml:space="preserve">Interested firms or individuals may obtain further information from the following office: </w:t>
      </w:r>
      <w:hyperlink r:id="rId7" w:history="1">
        <w:r w:rsidRPr="006B64EB">
          <w:rPr>
            <w:rStyle w:val="Hyperlink"/>
          </w:rPr>
          <w:t>tenders@energocom.md</w:t>
        </w:r>
      </w:hyperlink>
      <w:r w:rsidRPr="006B64EB">
        <w:t xml:space="preserve"> and office@energocom.md</w:t>
      </w:r>
    </w:p>
    <w:p w14:paraId="6602620E" w14:textId="77777777" w:rsidR="00271D7C" w:rsidRPr="006B64EB" w:rsidRDefault="00271D7C" w:rsidP="006B64EB">
      <w:pPr>
        <w:ind w:right="-3"/>
        <w:jc w:val="both"/>
      </w:pPr>
    </w:p>
    <w:p w14:paraId="04789279" w14:textId="77777777" w:rsidR="00271D7C" w:rsidRPr="006B64EB" w:rsidRDefault="00271D7C" w:rsidP="006B64EB">
      <w:pPr>
        <w:jc w:val="both"/>
      </w:pPr>
      <w:r w:rsidRPr="006B64EB">
        <w:t xml:space="preserve">Only prequalified applicants will be invited subsequently to submit proposals for supply of natural gas. </w:t>
      </w:r>
    </w:p>
    <w:p w14:paraId="2097E834" w14:textId="77777777" w:rsidR="00271D7C" w:rsidRPr="006B64EB" w:rsidRDefault="00271D7C" w:rsidP="006B64EB">
      <w:pPr>
        <w:ind w:right="-3"/>
        <w:jc w:val="both"/>
      </w:pPr>
    </w:p>
    <w:p w14:paraId="7EB3C7DD" w14:textId="77777777" w:rsidR="00271D7C" w:rsidRPr="006B64EB" w:rsidRDefault="00271D7C" w:rsidP="006B64EB">
      <w:pPr>
        <w:pStyle w:val="NoSpacing"/>
        <w:rPr>
          <w:rFonts w:ascii="Times New Roman" w:hAnsi="Times New Roman"/>
          <w:b/>
          <w:sz w:val="24"/>
          <w:szCs w:val="24"/>
          <w:lang w:val="en-GB"/>
        </w:rPr>
      </w:pPr>
    </w:p>
    <w:p w14:paraId="5207533C" w14:textId="77777777" w:rsidR="00271D7C" w:rsidRPr="006B64EB" w:rsidRDefault="00271D7C" w:rsidP="00271D7C">
      <w:pPr>
        <w:pStyle w:val="NoSpacing"/>
        <w:ind w:firstLine="709"/>
        <w:rPr>
          <w:rFonts w:ascii="Times New Roman" w:hAnsi="Times New Roman"/>
          <w:b/>
          <w:sz w:val="24"/>
          <w:szCs w:val="24"/>
          <w:lang w:val="en-GB"/>
        </w:rPr>
      </w:pPr>
    </w:p>
    <w:p w14:paraId="7E10F8A3" w14:textId="77777777" w:rsidR="00271D7C" w:rsidRPr="006B64EB" w:rsidRDefault="00271D7C" w:rsidP="00271D7C">
      <w:pPr>
        <w:pStyle w:val="NoSpacing"/>
        <w:ind w:firstLine="709"/>
        <w:rPr>
          <w:rFonts w:ascii="Times New Roman" w:hAnsi="Times New Roman"/>
          <w:sz w:val="24"/>
          <w:szCs w:val="24"/>
          <w:lang w:val="en-GB"/>
        </w:rPr>
      </w:pPr>
      <w:r w:rsidRPr="006B64EB">
        <w:rPr>
          <w:rFonts w:ascii="Times New Roman" w:hAnsi="Times New Roman"/>
          <w:b/>
          <w:sz w:val="24"/>
          <w:szCs w:val="24"/>
          <w:lang w:val="en-GB"/>
        </w:rPr>
        <w:t xml:space="preserve">Acting General Director    </w:t>
      </w:r>
      <w:r w:rsidRPr="006B64EB">
        <w:rPr>
          <w:rFonts w:ascii="Times New Roman" w:hAnsi="Times New Roman"/>
          <w:b/>
          <w:sz w:val="24"/>
          <w:szCs w:val="24"/>
          <w:lang w:val="en-GB"/>
        </w:rPr>
        <w:tab/>
      </w:r>
      <w:r w:rsidRPr="006B64EB">
        <w:rPr>
          <w:rFonts w:ascii="Times New Roman" w:hAnsi="Times New Roman"/>
          <w:b/>
          <w:sz w:val="24"/>
          <w:szCs w:val="24"/>
          <w:lang w:val="en-GB"/>
        </w:rPr>
        <w:tab/>
      </w:r>
      <w:r w:rsidRPr="006B64EB">
        <w:rPr>
          <w:rFonts w:ascii="Times New Roman" w:hAnsi="Times New Roman"/>
          <w:b/>
          <w:sz w:val="24"/>
          <w:szCs w:val="24"/>
          <w:lang w:val="en-GB"/>
        </w:rPr>
        <w:tab/>
      </w:r>
      <w:r w:rsidRPr="006B64EB">
        <w:rPr>
          <w:rFonts w:ascii="Times New Roman" w:hAnsi="Times New Roman"/>
          <w:b/>
          <w:sz w:val="24"/>
          <w:szCs w:val="24"/>
          <w:lang w:val="en-GB"/>
        </w:rPr>
        <w:tab/>
      </w:r>
      <w:r w:rsidRPr="006B64EB">
        <w:rPr>
          <w:rFonts w:ascii="Times New Roman" w:hAnsi="Times New Roman"/>
          <w:b/>
          <w:sz w:val="24"/>
          <w:szCs w:val="24"/>
          <w:lang w:val="en-GB"/>
        </w:rPr>
        <w:tab/>
        <w:t>Eugeniu BUZATU</w:t>
      </w:r>
    </w:p>
    <w:p w14:paraId="6C1F8F3B" w14:textId="77777777" w:rsidR="00271D7C" w:rsidRPr="006B64EB" w:rsidRDefault="00271D7C" w:rsidP="00271D7C">
      <w:pPr>
        <w:ind w:left="709" w:right="-3" w:hanging="709"/>
        <w:jc w:val="center"/>
      </w:pPr>
    </w:p>
    <w:sectPr w:rsidR="00271D7C" w:rsidRPr="006B64E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E0"/>
    <w:rsid w:val="00105EBB"/>
    <w:rsid w:val="00247A34"/>
    <w:rsid w:val="00271D7C"/>
    <w:rsid w:val="002E4AEC"/>
    <w:rsid w:val="004935E0"/>
    <w:rsid w:val="004B25DE"/>
    <w:rsid w:val="00523B09"/>
    <w:rsid w:val="00601AD4"/>
    <w:rsid w:val="006B64EB"/>
    <w:rsid w:val="006C0B77"/>
    <w:rsid w:val="008242FF"/>
    <w:rsid w:val="00870751"/>
    <w:rsid w:val="00922C48"/>
    <w:rsid w:val="00B915B7"/>
    <w:rsid w:val="00C2246A"/>
    <w:rsid w:val="00C22C9D"/>
    <w:rsid w:val="00C56B25"/>
    <w:rsid w:val="00E270FF"/>
    <w:rsid w:val="00EA59DF"/>
    <w:rsid w:val="00EA7645"/>
    <w:rsid w:val="00EB736B"/>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FCF0"/>
  <w15:chartTrackingRefBased/>
  <w15:docId w15:val="{41EED9FB-036E-4CE7-BC28-71AA0E31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7C"/>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4935E0"/>
    <w:pPr>
      <w:keepNext/>
      <w:keepLines/>
      <w:spacing w:before="360" w:after="80"/>
      <w:outlineLvl w:val="0"/>
    </w:pPr>
    <w:rPr>
      <w:rFonts w:asciiTheme="majorHAnsi" w:eastAsiaTheme="majorEastAsia" w:hAnsiTheme="majorHAnsi" w:cstheme="majorBidi"/>
      <w:color w:val="2E74B5" w:themeColor="accent1" w:themeShade="BF"/>
      <w:kern w:val="2"/>
      <w:sz w:val="40"/>
      <w:szCs w:val="40"/>
      <w:lang w:val="ru-RU" w:eastAsia="en-US"/>
      <w14:ligatures w14:val="standardContextual"/>
    </w:rPr>
  </w:style>
  <w:style w:type="paragraph" w:styleId="Heading2">
    <w:name w:val="heading 2"/>
    <w:basedOn w:val="Normal"/>
    <w:next w:val="Normal"/>
    <w:link w:val="Heading2Char"/>
    <w:uiPriority w:val="9"/>
    <w:semiHidden/>
    <w:unhideWhenUsed/>
    <w:qFormat/>
    <w:rsid w:val="004935E0"/>
    <w:pPr>
      <w:keepNext/>
      <w:keepLines/>
      <w:spacing w:before="160" w:after="80"/>
      <w:outlineLvl w:val="1"/>
    </w:pPr>
    <w:rPr>
      <w:rFonts w:asciiTheme="majorHAnsi" w:eastAsiaTheme="majorEastAsia" w:hAnsiTheme="majorHAnsi" w:cstheme="majorBidi"/>
      <w:color w:val="2E74B5" w:themeColor="accent1" w:themeShade="BF"/>
      <w:kern w:val="2"/>
      <w:sz w:val="32"/>
      <w:szCs w:val="32"/>
      <w:lang w:val="ru-RU" w:eastAsia="en-US"/>
      <w14:ligatures w14:val="standardContextual"/>
    </w:rPr>
  </w:style>
  <w:style w:type="paragraph" w:styleId="Heading3">
    <w:name w:val="heading 3"/>
    <w:basedOn w:val="Normal"/>
    <w:next w:val="Normal"/>
    <w:link w:val="Heading3Char"/>
    <w:uiPriority w:val="9"/>
    <w:semiHidden/>
    <w:unhideWhenUsed/>
    <w:qFormat/>
    <w:rsid w:val="004935E0"/>
    <w:pPr>
      <w:keepNext/>
      <w:keepLines/>
      <w:spacing w:before="160" w:after="80"/>
      <w:outlineLvl w:val="2"/>
    </w:pPr>
    <w:rPr>
      <w:rFonts w:asciiTheme="minorHAnsi" w:eastAsiaTheme="majorEastAsia" w:hAnsiTheme="minorHAnsi" w:cstheme="majorBidi"/>
      <w:color w:val="2E74B5" w:themeColor="accent1" w:themeShade="BF"/>
      <w:kern w:val="2"/>
      <w:sz w:val="28"/>
      <w:szCs w:val="28"/>
      <w:lang w:val="ru-RU" w:eastAsia="en-US"/>
      <w14:ligatures w14:val="standardContextual"/>
    </w:rPr>
  </w:style>
  <w:style w:type="paragraph" w:styleId="Heading4">
    <w:name w:val="heading 4"/>
    <w:basedOn w:val="Normal"/>
    <w:next w:val="Normal"/>
    <w:link w:val="Heading4Char"/>
    <w:uiPriority w:val="9"/>
    <w:semiHidden/>
    <w:unhideWhenUsed/>
    <w:qFormat/>
    <w:rsid w:val="004935E0"/>
    <w:pPr>
      <w:keepNext/>
      <w:keepLines/>
      <w:spacing w:before="80" w:after="40"/>
      <w:outlineLvl w:val="3"/>
    </w:pPr>
    <w:rPr>
      <w:rFonts w:asciiTheme="minorHAnsi" w:eastAsiaTheme="majorEastAsia" w:hAnsiTheme="minorHAnsi" w:cstheme="majorBidi"/>
      <w:i/>
      <w:iCs/>
      <w:color w:val="2E74B5" w:themeColor="accent1" w:themeShade="BF"/>
      <w:kern w:val="2"/>
      <w:sz w:val="28"/>
      <w:szCs w:val="22"/>
      <w:lang w:val="ru-RU" w:eastAsia="en-US"/>
      <w14:ligatures w14:val="standardContextual"/>
    </w:rPr>
  </w:style>
  <w:style w:type="paragraph" w:styleId="Heading5">
    <w:name w:val="heading 5"/>
    <w:basedOn w:val="Normal"/>
    <w:next w:val="Normal"/>
    <w:link w:val="Heading5Char"/>
    <w:uiPriority w:val="9"/>
    <w:semiHidden/>
    <w:unhideWhenUsed/>
    <w:qFormat/>
    <w:rsid w:val="004935E0"/>
    <w:pPr>
      <w:keepNext/>
      <w:keepLines/>
      <w:spacing w:before="80" w:after="40"/>
      <w:outlineLvl w:val="4"/>
    </w:pPr>
    <w:rPr>
      <w:rFonts w:asciiTheme="minorHAnsi" w:eastAsiaTheme="majorEastAsia" w:hAnsiTheme="minorHAnsi" w:cstheme="majorBidi"/>
      <w:color w:val="2E74B5" w:themeColor="accent1" w:themeShade="BF"/>
      <w:kern w:val="2"/>
      <w:sz w:val="28"/>
      <w:szCs w:val="22"/>
      <w:lang w:val="ru-RU" w:eastAsia="en-US"/>
      <w14:ligatures w14:val="standardContextual"/>
    </w:rPr>
  </w:style>
  <w:style w:type="paragraph" w:styleId="Heading6">
    <w:name w:val="heading 6"/>
    <w:basedOn w:val="Normal"/>
    <w:next w:val="Normal"/>
    <w:link w:val="Heading6Char"/>
    <w:uiPriority w:val="9"/>
    <w:semiHidden/>
    <w:unhideWhenUsed/>
    <w:qFormat/>
    <w:rsid w:val="004935E0"/>
    <w:pPr>
      <w:keepNext/>
      <w:keepLines/>
      <w:spacing w:before="40"/>
      <w:outlineLvl w:val="5"/>
    </w:pPr>
    <w:rPr>
      <w:rFonts w:asciiTheme="minorHAnsi" w:eastAsiaTheme="majorEastAsia" w:hAnsiTheme="minorHAnsi" w:cstheme="majorBidi"/>
      <w:i/>
      <w:iCs/>
      <w:color w:val="595959" w:themeColor="text1" w:themeTint="A6"/>
      <w:kern w:val="2"/>
      <w:sz w:val="28"/>
      <w:szCs w:val="22"/>
      <w:lang w:val="ru-RU" w:eastAsia="en-US"/>
      <w14:ligatures w14:val="standardContextual"/>
    </w:rPr>
  </w:style>
  <w:style w:type="paragraph" w:styleId="Heading7">
    <w:name w:val="heading 7"/>
    <w:basedOn w:val="Normal"/>
    <w:next w:val="Normal"/>
    <w:link w:val="Heading7Char"/>
    <w:uiPriority w:val="9"/>
    <w:semiHidden/>
    <w:unhideWhenUsed/>
    <w:qFormat/>
    <w:rsid w:val="004935E0"/>
    <w:pPr>
      <w:keepNext/>
      <w:keepLines/>
      <w:spacing w:before="40"/>
      <w:outlineLvl w:val="6"/>
    </w:pPr>
    <w:rPr>
      <w:rFonts w:asciiTheme="minorHAnsi" w:eastAsiaTheme="majorEastAsia" w:hAnsiTheme="minorHAnsi" w:cstheme="majorBidi"/>
      <w:color w:val="595959" w:themeColor="text1" w:themeTint="A6"/>
      <w:kern w:val="2"/>
      <w:sz w:val="28"/>
      <w:szCs w:val="22"/>
      <w:lang w:val="ru-RU" w:eastAsia="en-US"/>
      <w14:ligatures w14:val="standardContextual"/>
    </w:rPr>
  </w:style>
  <w:style w:type="paragraph" w:styleId="Heading8">
    <w:name w:val="heading 8"/>
    <w:basedOn w:val="Normal"/>
    <w:next w:val="Normal"/>
    <w:link w:val="Heading8Char"/>
    <w:uiPriority w:val="9"/>
    <w:semiHidden/>
    <w:unhideWhenUsed/>
    <w:qFormat/>
    <w:rsid w:val="004935E0"/>
    <w:pPr>
      <w:keepNext/>
      <w:keepLines/>
      <w:outlineLvl w:val="7"/>
    </w:pPr>
    <w:rPr>
      <w:rFonts w:asciiTheme="minorHAnsi" w:eastAsiaTheme="majorEastAsia" w:hAnsiTheme="minorHAnsi" w:cstheme="majorBidi"/>
      <w:i/>
      <w:iCs/>
      <w:color w:val="272727" w:themeColor="text1" w:themeTint="D8"/>
      <w:kern w:val="2"/>
      <w:sz w:val="28"/>
      <w:szCs w:val="22"/>
      <w:lang w:val="ru-RU" w:eastAsia="en-US"/>
      <w14:ligatures w14:val="standardContextual"/>
    </w:rPr>
  </w:style>
  <w:style w:type="paragraph" w:styleId="Heading9">
    <w:name w:val="heading 9"/>
    <w:basedOn w:val="Normal"/>
    <w:next w:val="Normal"/>
    <w:link w:val="Heading9Char"/>
    <w:uiPriority w:val="9"/>
    <w:semiHidden/>
    <w:unhideWhenUsed/>
    <w:qFormat/>
    <w:rsid w:val="004935E0"/>
    <w:pPr>
      <w:keepNext/>
      <w:keepLines/>
      <w:outlineLvl w:val="8"/>
    </w:pPr>
    <w:rPr>
      <w:rFonts w:asciiTheme="minorHAnsi" w:eastAsiaTheme="majorEastAsia" w:hAnsiTheme="minorHAnsi" w:cstheme="majorBidi"/>
      <w:color w:val="272727" w:themeColor="text1" w:themeTint="D8"/>
      <w:kern w:val="2"/>
      <w:sz w:val="28"/>
      <w:szCs w:val="22"/>
      <w:lang w:val="ru-RU"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5E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935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935E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935E0"/>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4935E0"/>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4935E0"/>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4935E0"/>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4935E0"/>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4935E0"/>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4935E0"/>
    <w:pPr>
      <w:spacing w:after="80"/>
      <w:contextualSpacing/>
    </w:pPr>
    <w:rPr>
      <w:rFonts w:asciiTheme="majorHAnsi" w:eastAsiaTheme="majorEastAsia" w:hAnsiTheme="majorHAnsi" w:cstheme="majorBidi"/>
      <w:spacing w:val="-10"/>
      <w:kern w:val="28"/>
      <w:sz w:val="56"/>
      <w:szCs w:val="56"/>
      <w:lang w:val="ru-RU" w:eastAsia="en-US"/>
      <w14:ligatures w14:val="standardContextual"/>
    </w:rPr>
  </w:style>
  <w:style w:type="character" w:customStyle="1" w:styleId="TitleChar">
    <w:name w:val="Title Char"/>
    <w:basedOn w:val="DefaultParagraphFont"/>
    <w:link w:val="Title"/>
    <w:uiPriority w:val="10"/>
    <w:rsid w:val="00493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5E0"/>
    <w:pPr>
      <w:numPr>
        <w:ilvl w:val="1"/>
      </w:numPr>
      <w:spacing w:after="160"/>
    </w:pPr>
    <w:rPr>
      <w:rFonts w:asciiTheme="minorHAnsi" w:eastAsiaTheme="majorEastAsia" w:hAnsiTheme="minorHAnsi" w:cstheme="majorBidi"/>
      <w:color w:val="595959" w:themeColor="text1" w:themeTint="A6"/>
      <w:spacing w:val="15"/>
      <w:kern w:val="2"/>
      <w:sz w:val="28"/>
      <w:szCs w:val="28"/>
      <w:lang w:val="ru-RU" w:eastAsia="en-US"/>
      <w14:ligatures w14:val="standardContextual"/>
    </w:rPr>
  </w:style>
  <w:style w:type="character" w:customStyle="1" w:styleId="SubtitleChar">
    <w:name w:val="Subtitle Char"/>
    <w:basedOn w:val="DefaultParagraphFont"/>
    <w:link w:val="Subtitle"/>
    <w:uiPriority w:val="11"/>
    <w:rsid w:val="00493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5E0"/>
    <w:pPr>
      <w:spacing w:before="160" w:after="160"/>
      <w:jc w:val="center"/>
    </w:pPr>
    <w:rPr>
      <w:rFonts w:eastAsiaTheme="minorHAnsi" w:cstheme="minorBidi"/>
      <w:i/>
      <w:iCs/>
      <w:color w:val="404040" w:themeColor="text1" w:themeTint="BF"/>
      <w:kern w:val="2"/>
      <w:sz w:val="28"/>
      <w:szCs w:val="22"/>
      <w:lang w:val="ru-RU" w:eastAsia="en-US"/>
      <w14:ligatures w14:val="standardContextual"/>
    </w:rPr>
  </w:style>
  <w:style w:type="character" w:customStyle="1" w:styleId="QuoteChar">
    <w:name w:val="Quote Char"/>
    <w:basedOn w:val="DefaultParagraphFont"/>
    <w:link w:val="Quote"/>
    <w:uiPriority w:val="29"/>
    <w:rsid w:val="004935E0"/>
    <w:rPr>
      <w:rFonts w:ascii="Times New Roman" w:hAnsi="Times New Roman"/>
      <w:i/>
      <w:iCs/>
      <w:color w:val="404040" w:themeColor="text1" w:themeTint="BF"/>
      <w:sz w:val="28"/>
    </w:rPr>
  </w:style>
  <w:style w:type="paragraph" w:styleId="ListParagraph">
    <w:name w:val="List Paragraph"/>
    <w:basedOn w:val="Normal"/>
    <w:uiPriority w:val="34"/>
    <w:qFormat/>
    <w:rsid w:val="004935E0"/>
    <w:pPr>
      <w:spacing w:after="160"/>
      <w:ind w:left="720"/>
      <w:contextualSpacing/>
    </w:pPr>
    <w:rPr>
      <w:rFonts w:eastAsiaTheme="minorHAnsi" w:cstheme="minorBidi"/>
      <w:kern w:val="2"/>
      <w:sz w:val="28"/>
      <w:szCs w:val="22"/>
      <w:lang w:val="ru-RU" w:eastAsia="en-US"/>
      <w14:ligatures w14:val="standardContextual"/>
    </w:rPr>
  </w:style>
  <w:style w:type="character" w:styleId="IntenseEmphasis">
    <w:name w:val="Intense Emphasis"/>
    <w:basedOn w:val="DefaultParagraphFont"/>
    <w:uiPriority w:val="21"/>
    <w:qFormat/>
    <w:rsid w:val="004935E0"/>
    <w:rPr>
      <w:i/>
      <w:iCs/>
      <w:color w:val="2E74B5" w:themeColor="accent1" w:themeShade="BF"/>
    </w:rPr>
  </w:style>
  <w:style w:type="paragraph" w:styleId="IntenseQuote">
    <w:name w:val="Intense Quote"/>
    <w:basedOn w:val="Normal"/>
    <w:next w:val="Normal"/>
    <w:link w:val="IntenseQuoteChar"/>
    <w:uiPriority w:val="30"/>
    <w:qFormat/>
    <w:rsid w:val="004935E0"/>
    <w:pPr>
      <w:pBdr>
        <w:top w:val="single" w:sz="4" w:space="10" w:color="2E74B5" w:themeColor="accent1" w:themeShade="BF"/>
        <w:bottom w:val="single" w:sz="4" w:space="10" w:color="2E74B5" w:themeColor="accent1" w:themeShade="BF"/>
      </w:pBdr>
      <w:spacing w:before="360" w:after="360"/>
      <w:ind w:left="864" w:right="864"/>
      <w:jc w:val="center"/>
    </w:pPr>
    <w:rPr>
      <w:rFonts w:eastAsiaTheme="minorHAnsi" w:cstheme="minorBidi"/>
      <w:i/>
      <w:iCs/>
      <w:color w:val="2E74B5" w:themeColor="accent1" w:themeShade="BF"/>
      <w:kern w:val="2"/>
      <w:sz w:val="28"/>
      <w:szCs w:val="22"/>
      <w:lang w:val="ru-RU" w:eastAsia="en-US"/>
      <w14:ligatures w14:val="standardContextual"/>
    </w:rPr>
  </w:style>
  <w:style w:type="character" w:customStyle="1" w:styleId="IntenseQuoteChar">
    <w:name w:val="Intense Quote Char"/>
    <w:basedOn w:val="DefaultParagraphFont"/>
    <w:link w:val="IntenseQuote"/>
    <w:uiPriority w:val="30"/>
    <w:rsid w:val="004935E0"/>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4935E0"/>
    <w:rPr>
      <w:b/>
      <w:bCs/>
      <w:smallCaps/>
      <w:color w:val="2E74B5" w:themeColor="accent1" w:themeShade="BF"/>
      <w:spacing w:val="5"/>
    </w:rPr>
  </w:style>
  <w:style w:type="character" w:styleId="Hyperlink">
    <w:name w:val="Hyperlink"/>
    <w:rsid w:val="00271D7C"/>
    <w:rPr>
      <w:color w:val="0000FF"/>
      <w:u w:val="single"/>
    </w:rPr>
  </w:style>
  <w:style w:type="character" w:styleId="CommentReference">
    <w:name w:val="annotation reference"/>
    <w:uiPriority w:val="99"/>
    <w:semiHidden/>
    <w:unhideWhenUsed/>
    <w:rsid w:val="00271D7C"/>
    <w:rPr>
      <w:sz w:val="16"/>
      <w:szCs w:val="16"/>
    </w:rPr>
  </w:style>
  <w:style w:type="paragraph" w:styleId="CommentText">
    <w:name w:val="annotation text"/>
    <w:basedOn w:val="Normal"/>
    <w:link w:val="CommentTextChar"/>
    <w:uiPriority w:val="99"/>
    <w:unhideWhenUsed/>
    <w:rsid w:val="00271D7C"/>
    <w:rPr>
      <w:sz w:val="20"/>
      <w:szCs w:val="20"/>
    </w:rPr>
  </w:style>
  <w:style w:type="character" w:customStyle="1" w:styleId="CommentTextChar">
    <w:name w:val="Comment Text Char"/>
    <w:basedOn w:val="DefaultParagraphFont"/>
    <w:link w:val="CommentText"/>
    <w:uiPriority w:val="99"/>
    <w:rsid w:val="00271D7C"/>
    <w:rPr>
      <w:rFonts w:ascii="Times New Roman" w:eastAsia="Times New Roman" w:hAnsi="Times New Roman" w:cs="Times New Roman"/>
      <w:kern w:val="0"/>
      <w:sz w:val="20"/>
      <w:szCs w:val="20"/>
      <w:lang w:val="en-GB" w:eastAsia="en-GB"/>
      <w14:ligatures w14:val="none"/>
    </w:rPr>
  </w:style>
  <w:style w:type="paragraph" w:styleId="NoSpacing">
    <w:name w:val="No Spacing"/>
    <w:uiPriority w:val="1"/>
    <w:qFormat/>
    <w:rsid w:val="00271D7C"/>
    <w:pPr>
      <w:spacing w:after="0" w:line="240" w:lineRule="auto"/>
    </w:pPr>
    <w:rPr>
      <w:rFonts w:ascii="Calibri" w:eastAsia="Calibri" w:hAnsi="Calibri" w:cs="Times New Roman"/>
      <w:kern w:val="0"/>
      <w:lang w:val="ro-RO" w:eastAsia="zh-CN"/>
      <w14:ligatures w14:val="none"/>
    </w:rPr>
  </w:style>
  <w:style w:type="character" w:styleId="UnresolvedMention">
    <w:name w:val="Unresolved Mention"/>
    <w:basedOn w:val="DefaultParagraphFont"/>
    <w:uiPriority w:val="99"/>
    <w:semiHidden/>
    <w:unhideWhenUsed/>
    <w:rsid w:val="00EB7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enders@energocom.m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ergocom.md/en/list-of-prequalified-entities-in-accordance-with-the-rules-of-the-european-bank-for-reconstruction-and-development/" TargetMode="External"/><Relationship Id="rId5" Type="http://schemas.openxmlformats.org/officeDocument/2006/relationships/hyperlink" Target="https://energocom.md/en/list-of-prequalified-entities-in-accordance-with-the-rules-of-the-european-bank-for-reconstruction-and-development/" TargetMode="External"/><Relationship Id="rId4" Type="http://schemas.openxmlformats.org/officeDocument/2006/relationships/hyperlink" Target="https://www.ebrd.com/content/dam/ebrd_dxp/assets/pdfs/project%20procurement/directives-and-guidances/Guidance-note-Publication-of-Procurement-Notices-May-2024.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8d2b67-6949-4f82-b105-df473a7fc502}" enabled="0" method="" siteId="{f78d2b67-6949-4f82-b105-df473a7fc502}"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1</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Delendrea Maria</dc:creator>
  <cp:keywords/>
  <dc:description/>
  <cp:lastModifiedBy>Delendrea Maria</cp:lastModifiedBy>
  <cp:revision>12</cp:revision>
  <cp:lastPrinted>2025-05-06T10:58:00Z</cp:lastPrinted>
  <dcterms:created xsi:type="dcterms:W3CDTF">2025-05-02T08:27:00Z</dcterms:created>
  <dcterms:modified xsi:type="dcterms:W3CDTF">2025-05-06T10:58:00Z</dcterms:modified>
</cp:coreProperties>
</file>